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D6" w:rsidRPr="003A6DDE" w:rsidRDefault="00E04ED6" w:rsidP="00E04ED6">
      <w:pPr>
        <w:pStyle w:val="Prrafodelista"/>
        <w:ind w:left="0"/>
        <w:jc w:val="both"/>
        <w:rPr>
          <w:rFonts w:ascii="Arial" w:hAnsi="Arial" w:cs="Arial"/>
          <w:b/>
        </w:rPr>
      </w:pPr>
      <w:r>
        <w:rPr>
          <w:rFonts w:ascii="Arial" w:hAnsi="Arial" w:cs="Arial"/>
          <w:b/>
          <w:bCs/>
        </w:rPr>
        <w:t xml:space="preserve">REGLAMENTO </w:t>
      </w:r>
      <w:r w:rsidRPr="00F71A15">
        <w:rPr>
          <w:rFonts w:ascii="Arial" w:hAnsi="Arial" w:cs="Arial"/>
          <w:b/>
          <w:bCs/>
        </w:rPr>
        <w:t>SOBRE LA UBICACI</w:t>
      </w:r>
      <w:r>
        <w:rPr>
          <w:rFonts w:ascii="Arial" w:hAnsi="Arial" w:cs="Arial"/>
          <w:b/>
          <w:bCs/>
        </w:rPr>
        <w:t xml:space="preserve">ÓN, EDIFICACIÓN Y CONSERVACIÓN </w:t>
      </w:r>
      <w:r w:rsidRPr="00F71A15">
        <w:rPr>
          <w:rFonts w:ascii="Arial" w:hAnsi="Arial" w:cs="Arial"/>
          <w:b/>
          <w:bCs/>
        </w:rPr>
        <w:t>DE MONUMENTOS Y ESCULTURAS URBANAS EN LA CIUDAD DE MONTERREY</w:t>
      </w:r>
      <w:r w:rsidRPr="00FA37E8">
        <w:rPr>
          <w:rFonts w:ascii="Arial" w:hAnsi="Arial" w:cs="Arial"/>
          <w:b/>
        </w:rPr>
        <w:t>:</w:t>
      </w:r>
    </w:p>
    <w:tbl>
      <w:tblPr>
        <w:tblStyle w:val="Tablaconcuadrcula"/>
        <w:tblW w:w="0" w:type="auto"/>
        <w:tblLook w:val="04A0" w:firstRow="1" w:lastRow="0" w:firstColumn="1" w:lastColumn="0" w:noHBand="0" w:noVBand="1"/>
      </w:tblPr>
      <w:tblGrid>
        <w:gridCol w:w="4489"/>
        <w:gridCol w:w="4489"/>
      </w:tblGrid>
      <w:tr w:rsidR="00E04ED6" w:rsidRPr="003A6DDE" w:rsidTr="00263784">
        <w:tc>
          <w:tcPr>
            <w:tcW w:w="4489" w:type="dxa"/>
          </w:tcPr>
          <w:p w:rsidR="00E04ED6" w:rsidRPr="003A6DDE" w:rsidRDefault="00E04ED6" w:rsidP="00263784">
            <w:pPr>
              <w:jc w:val="center"/>
              <w:rPr>
                <w:rFonts w:ascii="Arial" w:hAnsi="Arial" w:cs="Arial"/>
                <w:b/>
              </w:rPr>
            </w:pPr>
            <w:r w:rsidRPr="003A6DDE">
              <w:rPr>
                <w:rFonts w:ascii="Arial" w:hAnsi="Arial" w:cs="Arial"/>
                <w:b/>
              </w:rPr>
              <w:t>DICE</w:t>
            </w:r>
          </w:p>
        </w:tc>
        <w:tc>
          <w:tcPr>
            <w:tcW w:w="4489" w:type="dxa"/>
          </w:tcPr>
          <w:p w:rsidR="00E04ED6" w:rsidRPr="003A6DDE" w:rsidRDefault="00E04ED6" w:rsidP="00263784">
            <w:pPr>
              <w:jc w:val="center"/>
              <w:rPr>
                <w:rFonts w:ascii="Arial" w:hAnsi="Arial" w:cs="Arial"/>
                <w:b/>
              </w:rPr>
            </w:pPr>
            <w:r w:rsidRPr="003A6DDE">
              <w:rPr>
                <w:rFonts w:ascii="Arial" w:hAnsi="Arial" w:cs="Arial"/>
                <w:b/>
              </w:rPr>
              <w:t>DEBE DECIR</w:t>
            </w:r>
          </w:p>
        </w:tc>
      </w:tr>
      <w:tr w:rsidR="00E04ED6" w:rsidRPr="003A6DDE" w:rsidTr="00263784">
        <w:trPr>
          <w:trHeight w:val="1133"/>
        </w:trPr>
        <w:tc>
          <w:tcPr>
            <w:tcW w:w="4489" w:type="dxa"/>
          </w:tcPr>
          <w:p w:rsidR="00E04ED6" w:rsidRPr="00835E07" w:rsidRDefault="00E04ED6" w:rsidP="00263784">
            <w:pPr>
              <w:jc w:val="both"/>
              <w:rPr>
                <w:rFonts w:ascii="Arial" w:hAnsi="Arial" w:cs="Arial"/>
              </w:rPr>
            </w:pPr>
            <w:r w:rsidRPr="00835E07">
              <w:rPr>
                <w:rFonts w:ascii="Arial" w:hAnsi="Arial" w:cs="Arial"/>
                <w:szCs w:val="18"/>
              </w:rPr>
              <w:t>Artículo 11</w:t>
            </w:r>
            <w:r w:rsidRPr="00835E07">
              <w:rPr>
                <w:rFonts w:ascii="Arial" w:hAnsi="Arial" w:cs="Arial"/>
                <w:b/>
                <w:szCs w:val="18"/>
              </w:rPr>
              <w:t xml:space="preserve">. </w:t>
            </w:r>
            <w:r w:rsidRPr="00835E07">
              <w:rPr>
                <w:rFonts w:ascii="Arial" w:hAnsi="Arial" w:cs="Arial"/>
                <w:szCs w:val="18"/>
              </w:rPr>
              <w:t>Al resolver e</w:t>
            </w:r>
            <w:r>
              <w:rPr>
                <w:rFonts w:ascii="Arial" w:hAnsi="Arial" w:cs="Arial"/>
                <w:szCs w:val="18"/>
              </w:rPr>
              <w:t xml:space="preserve">l R. Ayuntamiento se turnará a </w:t>
            </w:r>
            <w:r w:rsidRPr="00835E07">
              <w:rPr>
                <w:rFonts w:ascii="Arial" w:hAnsi="Arial" w:cs="Arial"/>
                <w:szCs w:val="18"/>
              </w:rPr>
              <w:t>la Subdirección de Cultura la autorización de la edificación, ubicación o reubicación de monumento o escultura, quien deberá ordenar se forme el expediente, aplicándole un número y clave e integránd</w:t>
            </w:r>
            <w:r>
              <w:rPr>
                <w:rFonts w:ascii="Arial" w:hAnsi="Arial" w:cs="Arial"/>
                <w:szCs w:val="18"/>
              </w:rPr>
              <w:t xml:space="preserve">olo al archivo y al inventario </w:t>
            </w:r>
            <w:r w:rsidRPr="00835E07">
              <w:rPr>
                <w:rFonts w:ascii="Arial" w:hAnsi="Arial" w:cs="Arial"/>
                <w:szCs w:val="18"/>
              </w:rPr>
              <w:t>del patrimonio inmueble de la ciudad.</w:t>
            </w:r>
          </w:p>
        </w:tc>
        <w:tc>
          <w:tcPr>
            <w:tcW w:w="4489" w:type="dxa"/>
          </w:tcPr>
          <w:p w:rsidR="00E04ED6" w:rsidRDefault="00E04ED6" w:rsidP="00263784">
            <w:pPr>
              <w:jc w:val="both"/>
              <w:rPr>
                <w:rFonts w:ascii="Arial" w:hAnsi="Arial" w:cs="Arial"/>
              </w:rPr>
            </w:pPr>
            <w:r>
              <w:rPr>
                <w:rFonts w:ascii="Arial" w:hAnsi="Arial" w:cs="Arial"/>
              </w:rPr>
              <w:t>Artículo 11. Al resolver el Ayuntamiento se turnará a</w:t>
            </w:r>
            <w:r w:rsidRPr="00835E07">
              <w:rPr>
                <w:rFonts w:ascii="Arial" w:hAnsi="Arial" w:cs="Arial"/>
              </w:rPr>
              <w:t xml:space="preserve"> la Subdirección de Cultura la autorización de la edificación, ubicación o reubicación de monumento o escultura, </w:t>
            </w:r>
            <w:r>
              <w:rPr>
                <w:rFonts w:ascii="Arial" w:hAnsi="Arial" w:cs="Arial"/>
              </w:rPr>
              <w:t>la cual</w:t>
            </w:r>
            <w:r w:rsidRPr="00835E07">
              <w:rPr>
                <w:rFonts w:ascii="Arial" w:hAnsi="Arial" w:cs="Arial"/>
              </w:rPr>
              <w:t xml:space="preserve"> deberá ordenar se forme el expediente, aplicándole un número y clave e integrándolo al archivo y al inventario  del patrimonio inmueble de la ciudad.</w:t>
            </w:r>
          </w:p>
          <w:p w:rsidR="00E04ED6" w:rsidRPr="00835E07" w:rsidRDefault="00E04ED6" w:rsidP="00263784">
            <w:pPr>
              <w:jc w:val="both"/>
              <w:rPr>
                <w:rFonts w:ascii="Arial" w:hAnsi="Arial" w:cs="Arial"/>
              </w:rPr>
            </w:pPr>
          </w:p>
        </w:tc>
      </w:tr>
      <w:tr w:rsidR="00E04ED6" w:rsidRPr="003A6DDE" w:rsidTr="00263784">
        <w:trPr>
          <w:trHeight w:val="1601"/>
        </w:trPr>
        <w:tc>
          <w:tcPr>
            <w:tcW w:w="4489" w:type="dxa"/>
          </w:tcPr>
          <w:p w:rsidR="00E04ED6" w:rsidRPr="003A6DDE" w:rsidRDefault="00E04ED6" w:rsidP="00263784">
            <w:pPr>
              <w:jc w:val="both"/>
              <w:rPr>
                <w:rFonts w:ascii="Arial" w:hAnsi="Arial" w:cs="Arial"/>
              </w:rPr>
            </w:pPr>
          </w:p>
          <w:p w:rsidR="00E04ED6" w:rsidRPr="00835E07" w:rsidRDefault="00E04ED6" w:rsidP="00263784">
            <w:pPr>
              <w:jc w:val="both"/>
              <w:rPr>
                <w:rFonts w:ascii="Arial" w:hAnsi="Arial" w:cs="Arial"/>
                <w:szCs w:val="18"/>
              </w:rPr>
            </w:pPr>
            <w:r w:rsidRPr="00835E07">
              <w:rPr>
                <w:rFonts w:ascii="Arial" w:hAnsi="Arial" w:cs="Arial"/>
                <w:szCs w:val="18"/>
              </w:rPr>
              <w:t xml:space="preserve">Artículo 13. </w:t>
            </w:r>
            <w:r>
              <w:rPr>
                <w:rFonts w:ascii="Arial" w:hAnsi="Arial" w:cs="Arial"/>
                <w:szCs w:val="18"/>
              </w:rPr>
              <w:t>…</w:t>
            </w:r>
          </w:p>
          <w:p w:rsidR="00E04ED6" w:rsidRPr="00835E07" w:rsidRDefault="00E04ED6" w:rsidP="00263784">
            <w:pPr>
              <w:jc w:val="both"/>
              <w:rPr>
                <w:rFonts w:ascii="Arial" w:hAnsi="Arial" w:cs="Arial"/>
                <w:szCs w:val="18"/>
              </w:rPr>
            </w:pPr>
          </w:p>
          <w:p w:rsidR="00E04ED6" w:rsidRDefault="00E04ED6" w:rsidP="00263784">
            <w:pPr>
              <w:jc w:val="both"/>
              <w:rPr>
                <w:rFonts w:ascii="Arial" w:hAnsi="Arial" w:cs="Arial"/>
                <w:szCs w:val="18"/>
              </w:rPr>
            </w:pPr>
            <w:r w:rsidRPr="00835E07">
              <w:rPr>
                <w:rFonts w:ascii="Arial" w:hAnsi="Arial" w:cs="Arial"/>
                <w:szCs w:val="18"/>
              </w:rPr>
              <w:t>a)</w:t>
            </w:r>
            <w:r>
              <w:rPr>
                <w:rFonts w:ascii="Arial" w:hAnsi="Arial" w:cs="Arial"/>
                <w:szCs w:val="18"/>
              </w:rPr>
              <w:t>…</w:t>
            </w:r>
          </w:p>
          <w:p w:rsidR="00E04ED6" w:rsidRDefault="00E04ED6" w:rsidP="00263784">
            <w:pPr>
              <w:jc w:val="both"/>
              <w:rPr>
                <w:rFonts w:ascii="Arial" w:hAnsi="Arial" w:cs="Arial"/>
                <w:szCs w:val="18"/>
              </w:rPr>
            </w:pPr>
          </w:p>
          <w:p w:rsidR="00E04ED6" w:rsidRPr="00835E07" w:rsidRDefault="00E04ED6" w:rsidP="00263784">
            <w:pPr>
              <w:jc w:val="both"/>
              <w:rPr>
                <w:rFonts w:ascii="Arial" w:hAnsi="Arial" w:cs="Arial"/>
                <w:szCs w:val="18"/>
              </w:rPr>
            </w:pPr>
            <w:r w:rsidRPr="00835E07">
              <w:rPr>
                <w:rFonts w:ascii="Arial" w:hAnsi="Arial" w:cs="Arial"/>
                <w:szCs w:val="18"/>
              </w:rPr>
              <w:t>b) Autorización del R. Ayuntamiento.</w:t>
            </w:r>
          </w:p>
          <w:p w:rsidR="00E04ED6" w:rsidRDefault="00E04ED6" w:rsidP="00263784">
            <w:pPr>
              <w:jc w:val="both"/>
              <w:rPr>
                <w:rFonts w:ascii="Arial" w:hAnsi="Arial" w:cs="Arial"/>
                <w:szCs w:val="18"/>
              </w:rPr>
            </w:pPr>
          </w:p>
          <w:p w:rsidR="00E04ED6" w:rsidRPr="00835E07" w:rsidRDefault="00E04ED6" w:rsidP="00263784">
            <w:pPr>
              <w:jc w:val="both"/>
              <w:rPr>
                <w:rFonts w:ascii="Arial" w:hAnsi="Arial" w:cs="Arial"/>
                <w:szCs w:val="18"/>
              </w:rPr>
            </w:pPr>
            <w:r w:rsidRPr="00835E07">
              <w:rPr>
                <w:rFonts w:ascii="Arial" w:hAnsi="Arial" w:cs="Arial"/>
                <w:szCs w:val="18"/>
              </w:rPr>
              <w:t>c)</w:t>
            </w:r>
            <w:r>
              <w:rPr>
                <w:rFonts w:ascii="Arial" w:hAnsi="Arial" w:cs="Arial"/>
                <w:szCs w:val="18"/>
              </w:rPr>
              <w:t xml:space="preserve"> a d) …</w:t>
            </w:r>
          </w:p>
        </w:tc>
        <w:tc>
          <w:tcPr>
            <w:tcW w:w="4489" w:type="dxa"/>
          </w:tcPr>
          <w:p w:rsidR="00E04ED6" w:rsidRPr="003A6DDE" w:rsidRDefault="00E04ED6" w:rsidP="00263784">
            <w:pPr>
              <w:jc w:val="both"/>
              <w:rPr>
                <w:rFonts w:ascii="Arial" w:hAnsi="Arial" w:cs="Arial"/>
              </w:rPr>
            </w:pPr>
          </w:p>
          <w:p w:rsidR="00E04ED6" w:rsidRPr="00835E07" w:rsidRDefault="00E04ED6" w:rsidP="00263784">
            <w:pPr>
              <w:jc w:val="both"/>
              <w:rPr>
                <w:rFonts w:ascii="Arial" w:hAnsi="Arial" w:cs="Arial"/>
                <w:szCs w:val="18"/>
              </w:rPr>
            </w:pPr>
            <w:r w:rsidRPr="00835E07">
              <w:rPr>
                <w:rFonts w:ascii="Arial" w:hAnsi="Arial" w:cs="Arial"/>
                <w:szCs w:val="18"/>
              </w:rPr>
              <w:t xml:space="preserve">Artículo 13. </w:t>
            </w:r>
            <w:r>
              <w:rPr>
                <w:rFonts w:ascii="Arial" w:hAnsi="Arial" w:cs="Arial"/>
                <w:szCs w:val="18"/>
              </w:rPr>
              <w:t>…</w:t>
            </w:r>
          </w:p>
          <w:p w:rsidR="00E04ED6" w:rsidRPr="00835E07" w:rsidRDefault="00E04ED6" w:rsidP="00263784">
            <w:pPr>
              <w:jc w:val="both"/>
              <w:rPr>
                <w:rFonts w:ascii="Arial" w:hAnsi="Arial" w:cs="Arial"/>
                <w:szCs w:val="18"/>
              </w:rPr>
            </w:pPr>
          </w:p>
          <w:p w:rsidR="00E04ED6" w:rsidRDefault="00E04ED6" w:rsidP="00263784">
            <w:pPr>
              <w:jc w:val="both"/>
              <w:rPr>
                <w:rFonts w:ascii="Arial" w:hAnsi="Arial" w:cs="Arial"/>
                <w:szCs w:val="18"/>
              </w:rPr>
            </w:pPr>
            <w:r w:rsidRPr="00835E07">
              <w:rPr>
                <w:rFonts w:ascii="Arial" w:hAnsi="Arial" w:cs="Arial"/>
                <w:szCs w:val="18"/>
              </w:rPr>
              <w:t>a)</w:t>
            </w:r>
            <w:r>
              <w:rPr>
                <w:rFonts w:ascii="Arial" w:hAnsi="Arial" w:cs="Arial"/>
                <w:szCs w:val="18"/>
              </w:rPr>
              <w:t>…</w:t>
            </w:r>
          </w:p>
          <w:p w:rsidR="00E04ED6" w:rsidRDefault="00E04ED6" w:rsidP="00263784">
            <w:pPr>
              <w:jc w:val="both"/>
              <w:rPr>
                <w:rFonts w:ascii="Arial" w:hAnsi="Arial" w:cs="Arial"/>
                <w:szCs w:val="18"/>
              </w:rPr>
            </w:pPr>
          </w:p>
          <w:p w:rsidR="00E04ED6" w:rsidRPr="00835E07" w:rsidRDefault="00E04ED6" w:rsidP="00263784">
            <w:pPr>
              <w:jc w:val="both"/>
              <w:rPr>
                <w:rFonts w:ascii="Arial" w:hAnsi="Arial" w:cs="Arial"/>
                <w:szCs w:val="18"/>
              </w:rPr>
            </w:pPr>
            <w:r>
              <w:rPr>
                <w:rFonts w:ascii="Arial" w:hAnsi="Arial" w:cs="Arial"/>
                <w:szCs w:val="18"/>
              </w:rPr>
              <w:t>b) Autorización del</w:t>
            </w:r>
            <w:r w:rsidRPr="00835E07">
              <w:rPr>
                <w:rFonts w:ascii="Arial" w:hAnsi="Arial" w:cs="Arial"/>
                <w:szCs w:val="18"/>
              </w:rPr>
              <w:t xml:space="preserve"> Ayuntamiento.</w:t>
            </w:r>
          </w:p>
          <w:p w:rsidR="00E04ED6" w:rsidRDefault="00E04ED6" w:rsidP="00263784">
            <w:pPr>
              <w:jc w:val="both"/>
              <w:rPr>
                <w:rFonts w:ascii="Arial" w:hAnsi="Arial" w:cs="Arial"/>
                <w:szCs w:val="18"/>
              </w:rPr>
            </w:pPr>
          </w:p>
          <w:p w:rsidR="00E04ED6" w:rsidRDefault="00E04ED6" w:rsidP="00263784">
            <w:pPr>
              <w:jc w:val="both"/>
              <w:rPr>
                <w:rFonts w:ascii="Arial" w:hAnsi="Arial" w:cs="Arial"/>
                <w:szCs w:val="18"/>
              </w:rPr>
            </w:pPr>
            <w:r w:rsidRPr="00835E07">
              <w:rPr>
                <w:rFonts w:ascii="Arial" w:hAnsi="Arial" w:cs="Arial"/>
                <w:szCs w:val="18"/>
              </w:rPr>
              <w:t>c)</w:t>
            </w:r>
            <w:r>
              <w:rPr>
                <w:rFonts w:ascii="Arial" w:hAnsi="Arial" w:cs="Arial"/>
                <w:szCs w:val="18"/>
              </w:rPr>
              <w:t xml:space="preserve"> a d) …</w:t>
            </w:r>
          </w:p>
          <w:p w:rsidR="00E04ED6" w:rsidRPr="0094403C" w:rsidRDefault="00E04ED6" w:rsidP="00263784">
            <w:pPr>
              <w:jc w:val="both"/>
              <w:rPr>
                <w:rFonts w:ascii="Arial" w:hAnsi="Arial" w:cs="Arial"/>
              </w:rPr>
            </w:pPr>
          </w:p>
        </w:tc>
      </w:tr>
      <w:tr w:rsidR="00E04ED6" w:rsidRPr="003A6DDE" w:rsidTr="00263784">
        <w:trPr>
          <w:trHeight w:val="2734"/>
        </w:trPr>
        <w:tc>
          <w:tcPr>
            <w:tcW w:w="4489" w:type="dxa"/>
          </w:tcPr>
          <w:p w:rsidR="00E04ED6" w:rsidRPr="00835E07" w:rsidRDefault="00E04ED6" w:rsidP="00263784">
            <w:pPr>
              <w:jc w:val="both"/>
              <w:rPr>
                <w:rFonts w:ascii="Arial" w:hAnsi="Arial" w:cs="Arial"/>
              </w:rPr>
            </w:pPr>
            <w:r>
              <w:rPr>
                <w:rFonts w:ascii="Arial" w:hAnsi="Arial" w:cs="Arial"/>
              </w:rPr>
              <w:t xml:space="preserve">Artículo 15. </w:t>
            </w:r>
            <w:r w:rsidRPr="00835E07">
              <w:rPr>
                <w:rFonts w:ascii="Arial" w:hAnsi="Arial" w:cs="Arial"/>
              </w:rPr>
              <w:t>En la autorización que expida el R. Ayuntamiento, además de la descripción de la obra, relato de los motivos y acontecimientos inherentes, s</w:t>
            </w:r>
            <w:r>
              <w:rPr>
                <w:rFonts w:ascii="Arial" w:hAnsi="Arial" w:cs="Arial"/>
              </w:rPr>
              <w:t>e deberá expresar con claridad el nombre</w:t>
            </w:r>
            <w:r w:rsidRPr="00835E07">
              <w:rPr>
                <w:rFonts w:ascii="Arial" w:hAnsi="Arial" w:cs="Arial"/>
              </w:rPr>
              <w:t xml:space="preserve"> del autor y del donante para que, en su caso, se establezcan los datos más relevantes en la placa de identificación que al efecto se coloque en el monumento o escultura.</w:t>
            </w:r>
          </w:p>
        </w:tc>
        <w:tc>
          <w:tcPr>
            <w:tcW w:w="4489" w:type="dxa"/>
          </w:tcPr>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Artículo 15. </w:t>
            </w:r>
            <w:r w:rsidRPr="00835E07">
              <w:rPr>
                <w:rFonts w:ascii="Arial" w:hAnsi="Arial" w:cs="Arial"/>
              </w:rPr>
              <w:t>En l</w:t>
            </w:r>
            <w:r>
              <w:rPr>
                <w:rFonts w:ascii="Arial" w:hAnsi="Arial" w:cs="Arial"/>
              </w:rPr>
              <w:t xml:space="preserve">a autorización que expida el </w:t>
            </w:r>
            <w:r w:rsidRPr="00835E07">
              <w:rPr>
                <w:rFonts w:ascii="Arial" w:hAnsi="Arial" w:cs="Arial"/>
              </w:rPr>
              <w:t xml:space="preserve">Ayuntamiento, además de la descripción de la obra, relato de los motivos y acontecimientos inherentes, </w:t>
            </w:r>
            <w:r>
              <w:rPr>
                <w:rFonts w:ascii="Arial" w:hAnsi="Arial" w:cs="Arial"/>
              </w:rPr>
              <w:t>se deberá expresar con claridad el nombre</w:t>
            </w:r>
            <w:r w:rsidRPr="00835E07">
              <w:rPr>
                <w:rFonts w:ascii="Arial" w:hAnsi="Arial" w:cs="Arial"/>
              </w:rPr>
              <w:t xml:space="preserve"> del autor y del donante para que, en su caso, se establezcan los datos más relevantes en la placa de identificación que al efecto se coloque en el monumento o escultura.</w:t>
            </w: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E04ED6" w:rsidRPr="00D7592A"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tc>
      </w:tr>
      <w:tr w:rsidR="00E04ED6" w:rsidRPr="003A6DDE" w:rsidTr="00263784">
        <w:trPr>
          <w:trHeight w:val="360"/>
        </w:trPr>
        <w:tc>
          <w:tcPr>
            <w:tcW w:w="4489" w:type="dxa"/>
          </w:tcPr>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rPr>
            </w:pPr>
            <w:r w:rsidRPr="00DA44F1">
              <w:rPr>
                <w:rFonts w:ascii="Arial" w:hAnsi="Arial" w:cs="Arial"/>
                <w:szCs w:val="18"/>
              </w:rPr>
              <w:t xml:space="preserve">Artículo 18. Una vez recibida la obra por el R. Ayuntamiento, la Administración será responsable de la conservación y mantenimiento si ésta </w:t>
            </w:r>
            <w:r>
              <w:rPr>
                <w:rFonts w:ascii="Arial" w:hAnsi="Arial" w:cs="Arial"/>
                <w:szCs w:val="18"/>
              </w:rPr>
              <w:t>se ubica en parques</w:t>
            </w:r>
            <w:r w:rsidRPr="00DA44F1">
              <w:rPr>
                <w:rFonts w:ascii="Arial" w:hAnsi="Arial" w:cs="Arial"/>
                <w:szCs w:val="18"/>
              </w:rPr>
              <w:t xml:space="preserve"> o en la vía pública.</w:t>
            </w:r>
          </w:p>
        </w:tc>
        <w:tc>
          <w:tcPr>
            <w:tcW w:w="4489" w:type="dxa"/>
          </w:tcPr>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rPr>
            </w:pPr>
            <w:r w:rsidRPr="00DA44F1">
              <w:rPr>
                <w:rFonts w:ascii="Arial" w:hAnsi="Arial" w:cs="Arial"/>
                <w:szCs w:val="18"/>
              </w:rPr>
              <w:t>Artículo 18. U</w:t>
            </w:r>
            <w:r>
              <w:rPr>
                <w:rFonts w:ascii="Arial" w:hAnsi="Arial" w:cs="Arial"/>
                <w:szCs w:val="18"/>
              </w:rPr>
              <w:t xml:space="preserve">na vez recibida la obra por el </w:t>
            </w:r>
            <w:r w:rsidRPr="00DA44F1">
              <w:rPr>
                <w:rFonts w:ascii="Arial" w:hAnsi="Arial" w:cs="Arial"/>
                <w:szCs w:val="18"/>
              </w:rPr>
              <w:t>Ayuntamiento, la Administración será responsable de la conse</w:t>
            </w:r>
            <w:r>
              <w:rPr>
                <w:rFonts w:ascii="Arial" w:hAnsi="Arial" w:cs="Arial"/>
                <w:szCs w:val="18"/>
              </w:rPr>
              <w:t>rvación y mantenimiento si ésta</w:t>
            </w:r>
            <w:r w:rsidRPr="00DA44F1">
              <w:rPr>
                <w:rFonts w:ascii="Arial" w:hAnsi="Arial" w:cs="Arial"/>
                <w:szCs w:val="18"/>
              </w:rPr>
              <w:t xml:space="preserve"> se ubica en parques o en la vía pública.</w:t>
            </w:r>
          </w:p>
          <w:p w:rsidR="00E04ED6" w:rsidRDefault="00E04ED6" w:rsidP="00263784">
            <w:pPr>
              <w:pStyle w:val="Poromisin"/>
              <w:jc w:val="both"/>
              <w:rPr>
                <w:rFonts w:ascii="Arial" w:hAnsi="Arial" w:cs="Arial"/>
              </w:rPr>
            </w:pPr>
          </w:p>
        </w:tc>
      </w:tr>
      <w:tr w:rsidR="00E04ED6" w:rsidRPr="003A6DDE" w:rsidTr="00263784">
        <w:trPr>
          <w:trHeight w:val="1640"/>
        </w:trPr>
        <w:tc>
          <w:tcPr>
            <w:tcW w:w="4489" w:type="dxa"/>
          </w:tcPr>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r w:rsidRPr="00006F9C">
              <w:rPr>
                <w:rFonts w:ascii="Arial" w:hAnsi="Arial" w:cs="Arial"/>
                <w:szCs w:val="18"/>
              </w:rPr>
              <w:t>Artículo 24. Los solicitantes tendrán el derecho de interponer el recurso de revocación en contra de las decisiones que rechacen la solicitud o propuesta de edificación, ubicación o reubicación de monumento o escultura</w:t>
            </w:r>
            <w:r>
              <w:rPr>
                <w:rFonts w:ascii="Arial" w:hAnsi="Arial" w:cs="Arial"/>
                <w:szCs w:val="18"/>
              </w:rPr>
              <w:t>.</w:t>
            </w:r>
          </w:p>
          <w:p w:rsidR="00E04ED6" w:rsidRPr="00006F9C"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tc>
        <w:tc>
          <w:tcPr>
            <w:tcW w:w="4489" w:type="dxa"/>
          </w:tcPr>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r>
              <w:rPr>
                <w:rFonts w:ascii="Arial" w:hAnsi="Arial" w:cs="Arial"/>
                <w:szCs w:val="18"/>
              </w:rPr>
              <w:t>Artículo 24. Derogado.</w:t>
            </w:r>
          </w:p>
        </w:tc>
      </w:tr>
      <w:tr w:rsidR="00E04ED6" w:rsidRPr="003A6DDE" w:rsidTr="00263784">
        <w:trPr>
          <w:trHeight w:val="842"/>
        </w:trPr>
        <w:tc>
          <w:tcPr>
            <w:tcW w:w="4489" w:type="dxa"/>
          </w:tcPr>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r w:rsidRPr="00006F9C">
              <w:rPr>
                <w:rFonts w:ascii="Arial" w:hAnsi="Arial" w:cs="Arial"/>
                <w:szCs w:val="18"/>
              </w:rPr>
              <w:t>Artículo 25. Los solicitantes y servidores públicos a quienes se les impongan sanciones pecuniarias, tendrán derecho de presentar ante la autoridad administrativa que haya emitido la resolución correspondiente el recurso de revisión. Este recurso se interpondrá por escrito en el cual se expresen c</w:t>
            </w:r>
            <w:r>
              <w:rPr>
                <w:rFonts w:ascii="Arial" w:hAnsi="Arial" w:cs="Arial"/>
                <w:szCs w:val="18"/>
              </w:rPr>
              <w:t>on claridad los agravios que se</w:t>
            </w:r>
            <w:r w:rsidRPr="00006F9C">
              <w:rPr>
                <w:rFonts w:ascii="Arial" w:hAnsi="Arial" w:cs="Arial"/>
                <w:szCs w:val="18"/>
              </w:rPr>
              <w:t xml:space="preserve"> </w:t>
            </w:r>
            <w:r>
              <w:rPr>
                <w:rFonts w:ascii="Arial" w:hAnsi="Arial" w:cs="Arial"/>
                <w:szCs w:val="18"/>
              </w:rPr>
              <w:t>les hubieren causado y ofrezcan</w:t>
            </w:r>
            <w:r w:rsidRPr="00006F9C">
              <w:rPr>
                <w:rFonts w:ascii="Arial" w:hAnsi="Arial" w:cs="Arial"/>
                <w:szCs w:val="18"/>
              </w:rPr>
              <w:t xml:space="preserve"> las pruebas conducentes. La Subdirección de Cultura, autoridad receptora, lo remitirá a su superior jerár</w:t>
            </w:r>
            <w:r>
              <w:rPr>
                <w:rFonts w:ascii="Arial" w:hAnsi="Arial" w:cs="Arial"/>
                <w:szCs w:val="18"/>
              </w:rPr>
              <w:t xml:space="preserve">quico, quien dictará el acuerdo que corresponda </w:t>
            </w:r>
            <w:r w:rsidRPr="00006F9C">
              <w:rPr>
                <w:rFonts w:ascii="Arial" w:hAnsi="Arial" w:cs="Arial"/>
                <w:szCs w:val="18"/>
              </w:rPr>
              <w:t xml:space="preserve">respecto a la admisión o </w:t>
            </w:r>
            <w:proofErr w:type="spellStart"/>
            <w:r>
              <w:rPr>
                <w:rFonts w:ascii="Arial" w:hAnsi="Arial" w:cs="Arial"/>
                <w:szCs w:val="18"/>
              </w:rPr>
              <w:t>desechamiento</w:t>
            </w:r>
            <w:proofErr w:type="spellEnd"/>
            <w:r>
              <w:rPr>
                <w:rFonts w:ascii="Arial" w:hAnsi="Arial" w:cs="Arial"/>
                <w:szCs w:val="18"/>
              </w:rPr>
              <w:t xml:space="preserve"> </w:t>
            </w:r>
            <w:r w:rsidRPr="00006F9C">
              <w:rPr>
                <w:rFonts w:ascii="Arial" w:hAnsi="Arial" w:cs="Arial"/>
                <w:szCs w:val="18"/>
              </w:rPr>
              <w:t>del recurso. En el primer caso fijará fecha para la celebración de una audiencia que será de pruebas, alegatos y resolución.</w:t>
            </w: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p w:rsidR="00E04ED6" w:rsidRPr="00006F9C"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hAnsi="Arial" w:cs="Arial"/>
                <w:szCs w:val="18"/>
              </w:rPr>
            </w:pPr>
          </w:p>
        </w:tc>
        <w:tc>
          <w:tcPr>
            <w:tcW w:w="4489" w:type="dxa"/>
          </w:tcPr>
          <w:p w:rsidR="00E04ED6" w:rsidRDefault="00E04ED6" w:rsidP="00263784">
            <w:pPr>
              <w:pStyle w:val="Poromisin"/>
              <w:ind w:left="33"/>
              <w:jc w:val="both"/>
              <w:rPr>
                <w:rFonts w:ascii="Arial" w:hAnsi="Arial" w:cs="Arial"/>
                <w:szCs w:val="18"/>
              </w:rPr>
            </w:pPr>
          </w:p>
          <w:p w:rsidR="00E04ED6" w:rsidRDefault="00E04ED6" w:rsidP="00263784">
            <w:pPr>
              <w:pStyle w:val="Poromisin"/>
              <w:ind w:left="33"/>
              <w:jc w:val="both"/>
              <w:rPr>
                <w:rFonts w:ascii="Arial" w:hAnsi="Arial" w:cs="Arial"/>
                <w:szCs w:val="18"/>
              </w:rPr>
            </w:pPr>
          </w:p>
          <w:p w:rsidR="00E04ED6" w:rsidRDefault="00E04ED6" w:rsidP="00263784">
            <w:pPr>
              <w:pStyle w:val="Poromisin"/>
              <w:ind w:left="33"/>
              <w:jc w:val="both"/>
              <w:rPr>
                <w:rFonts w:ascii="Arial" w:hAnsi="Arial" w:cs="Arial"/>
                <w:szCs w:val="18"/>
              </w:rPr>
            </w:pPr>
          </w:p>
          <w:p w:rsidR="00E04ED6" w:rsidRDefault="00E04ED6" w:rsidP="00263784">
            <w:pPr>
              <w:pStyle w:val="Poromisin"/>
              <w:ind w:left="33"/>
              <w:jc w:val="both"/>
              <w:rPr>
                <w:rFonts w:ascii="Arial" w:hAnsi="Arial" w:cs="Arial"/>
                <w:szCs w:val="18"/>
              </w:rPr>
            </w:pPr>
          </w:p>
          <w:p w:rsidR="00E04ED6" w:rsidRDefault="00E04ED6" w:rsidP="00263784">
            <w:pPr>
              <w:pStyle w:val="Poromisin"/>
              <w:ind w:left="33"/>
              <w:jc w:val="both"/>
              <w:rPr>
                <w:rFonts w:ascii="Arial" w:hAnsi="Arial" w:cs="Arial"/>
                <w:szCs w:val="18"/>
              </w:rPr>
            </w:pPr>
          </w:p>
          <w:p w:rsidR="00E04ED6" w:rsidRDefault="00E04ED6" w:rsidP="00263784">
            <w:pPr>
              <w:pStyle w:val="Poromisin"/>
              <w:ind w:left="33"/>
              <w:jc w:val="both"/>
              <w:rPr>
                <w:rFonts w:ascii="Arial" w:hAnsi="Arial" w:cs="Arial"/>
                <w:szCs w:val="18"/>
              </w:rPr>
            </w:pPr>
          </w:p>
          <w:p w:rsidR="00E04ED6" w:rsidRDefault="00E04ED6" w:rsidP="00263784">
            <w:pPr>
              <w:pStyle w:val="Poromisin"/>
              <w:ind w:left="33"/>
              <w:jc w:val="both"/>
              <w:rPr>
                <w:rFonts w:ascii="Arial" w:hAnsi="Arial" w:cs="Arial"/>
                <w:szCs w:val="18"/>
              </w:rPr>
            </w:pPr>
          </w:p>
          <w:p w:rsidR="00E04ED6" w:rsidRDefault="00E04ED6" w:rsidP="00263784">
            <w:pPr>
              <w:pStyle w:val="Poromisin"/>
              <w:ind w:left="33"/>
              <w:jc w:val="both"/>
              <w:rPr>
                <w:rFonts w:ascii="Arial" w:hAnsi="Arial" w:cs="Arial"/>
                <w:szCs w:val="18"/>
              </w:rPr>
            </w:pPr>
            <w:r>
              <w:rPr>
                <w:rFonts w:ascii="Arial" w:hAnsi="Arial" w:cs="Arial"/>
                <w:szCs w:val="18"/>
              </w:rPr>
              <w:t>Artículo 25. Derogado.</w:t>
            </w:r>
          </w:p>
        </w:tc>
      </w:tr>
      <w:tr w:rsidR="00E04ED6" w:rsidRPr="003A6DDE" w:rsidTr="00263784">
        <w:trPr>
          <w:trHeight w:val="5654"/>
        </w:trPr>
        <w:tc>
          <w:tcPr>
            <w:tcW w:w="4489" w:type="dxa"/>
          </w:tcPr>
          <w:p w:rsidR="00E04ED6" w:rsidRPr="003A6DDE" w:rsidRDefault="00E04ED6" w:rsidP="00263784">
            <w:pPr>
              <w:jc w:val="both"/>
              <w:rPr>
                <w:rFonts w:ascii="Arial" w:hAnsi="Arial" w:cs="Arial"/>
              </w:rPr>
            </w:pPr>
          </w:p>
        </w:tc>
        <w:tc>
          <w:tcPr>
            <w:tcW w:w="4489" w:type="dxa"/>
          </w:tcPr>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A293B">
              <w:rPr>
                <w:rFonts w:ascii="Arial" w:hAnsi="Arial" w:cs="Arial"/>
                <w:szCs w:val="18"/>
              </w:rPr>
              <w:t>CAPÍTULO VI</w:t>
            </w: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A293B">
              <w:rPr>
                <w:rFonts w:ascii="Arial" w:hAnsi="Arial" w:cs="Arial"/>
                <w:szCs w:val="18"/>
              </w:rPr>
              <w:t>DEL PROCEDIMIENTO DE REVISIÓN Y CONSULTA.</w:t>
            </w: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A293B">
              <w:rPr>
                <w:rFonts w:ascii="Arial" w:hAnsi="Arial" w:cs="Arial"/>
                <w:szCs w:val="18"/>
              </w:rPr>
              <w:t>A</w:t>
            </w:r>
            <w:r>
              <w:rPr>
                <w:rFonts w:ascii="Arial" w:hAnsi="Arial" w:cs="Arial"/>
                <w:szCs w:val="18"/>
              </w:rPr>
              <w:t>rtículo</w:t>
            </w:r>
            <w:r w:rsidRPr="004A293B">
              <w:rPr>
                <w:rFonts w:ascii="Arial" w:hAnsi="Arial" w:cs="Arial"/>
                <w:szCs w:val="18"/>
              </w:rPr>
              <w:t xml:space="preserve"> 26. Para la revisión y co</w:t>
            </w:r>
            <w:r>
              <w:rPr>
                <w:rFonts w:ascii="Arial" w:hAnsi="Arial" w:cs="Arial"/>
                <w:szCs w:val="18"/>
              </w:rPr>
              <w:t xml:space="preserve">nsulta del presente Reglamento </w:t>
            </w:r>
            <w:r w:rsidRPr="004A293B">
              <w:rPr>
                <w:rFonts w:ascii="Arial" w:hAnsi="Arial" w:cs="Arial"/>
                <w:szCs w:val="18"/>
              </w:rPr>
              <w:t>la comunidad podrá hacer llegar sus opinio</w:t>
            </w:r>
            <w:r>
              <w:rPr>
                <w:rFonts w:ascii="Arial" w:hAnsi="Arial" w:cs="Arial"/>
                <w:szCs w:val="18"/>
              </w:rPr>
              <w:t>nes y observaciones por escrito</w:t>
            </w:r>
            <w:r w:rsidRPr="004A293B">
              <w:rPr>
                <w:rFonts w:ascii="Arial" w:hAnsi="Arial" w:cs="Arial"/>
                <w:szCs w:val="18"/>
              </w:rPr>
              <w:t xml:space="preserve"> a la Comisión de Gob</w:t>
            </w:r>
            <w:r>
              <w:rPr>
                <w:rFonts w:ascii="Arial" w:hAnsi="Arial" w:cs="Arial"/>
                <w:szCs w:val="18"/>
              </w:rPr>
              <w:t>ernación</w:t>
            </w:r>
            <w:r w:rsidRPr="004A293B">
              <w:rPr>
                <w:rFonts w:ascii="Arial" w:hAnsi="Arial" w:cs="Arial"/>
                <w:szCs w:val="18"/>
              </w:rPr>
              <w:t xml:space="preserve">, Reglamentación y Mejora Regulatoria, </w:t>
            </w:r>
            <w:r>
              <w:rPr>
                <w:rFonts w:ascii="Arial" w:hAnsi="Arial" w:cs="Arial"/>
                <w:szCs w:val="18"/>
              </w:rPr>
              <w:t>la cual</w:t>
            </w:r>
            <w:r w:rsidRPr="004A293B">
              <w:rPr>
                <w:rFonts w:ascii="Arial" w:hAnsi="Arial" w:cs="Arial"/>
                <w:szCs w:val="18"/>
              </w:rPr>
              <w:t xml:space="preserve"> recibirá y atenderá cualquier sugerencia que sea presentada por la ciudadanía. El </w:t>
            </w:r>
            <w:proofErr w:type="spellStart"/>
            <w:r w:rsidRPr="004A293B">
              <w:rPr>
                <w:rFonts w:ascii="Arial" w:hAnsi="Arial" w:cs="Arial"/>
                <w:szCs w:val="18"/>
              </w:rPr>
              <w:t>promovente</w:t>
            </w:r>
            <w:proofErr w:type="spellEnd"/>
            <w:r w:rsidRPr="004A293B">
              <w:rPr>
                <w:rFonts w:ascii="Arial" w:hAnsi="Arial" w:cs="Arial"/>
                <w:szCs w:val="18"/>
              </w:rPr>
              <w:t xml:space="preserve"> deberá argumentar en el escrito de referencia las razones que sustenten sus opiniones y observaciones con respecto al Reglamento Municipal.</w:t>
            </w: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04ED6" w:rsidRPr="004A293B" w:rsidRDefault="00E04ED6" w:rsidP="00263784">
            <w:pPr>
              <w:jc w:val="both"/>
              <w:rPr>
                <w:rFonts w:ascii="Arial" w:hAnsi="Arial" w:cs="Arial"/>
                <w:sz w:val="18"/>
                <w:szCs w:val="18"/>
              </w:rPr>
            </w:pPr>
            <w:r w:rsidRPr="004A293B">
              <w:rPr>
                <w:rFonts w:ascii="Arial" w:hAnsi="Arial" w:cs="Arial"/>
                <w:szCs w:val="18"/>
              </w:rPr>
              <w:t>A</w:t>
            </w:r>
            <w:r>
              <w:rPr>
                <w:rFonts w:ascii="Arial" w:hAnsi="Arial" w:cs="Arial"/>
                <w:szCs w:val="18"/>
              </w:rPr>
              <w:t>rtículo</w:t>
            </w:r>
            <w:r w:rsidRPr="004A293B">
              <w:rPr>
                <w:rFonts w:ascii="Arial" w:hAnsi="Arial" w:cs="Arial"/>
                <w:szCs w:val="18"/>
              </w:rPr>
              <w:t xml:space="preserve"> 27. La Comisi</w:t>
            </w:r>
            <w:r>
              <w:rPr>
                <w:rFonts w:ascii="Arial" w:hAnsi="Arial" w:cs="Arial"/>
                <w:szCs w:val="18"/>
              </w:rPr>
              <w:t>ón deberá en un plazo no mayor de</w:t>
            </w:r>
            <w:r w:rsidRPr="004A293B">
              <w:rPr>
                <w:rFonts w:ascii="Arial" w:hAnsi="Arial" w:cs="Arial"/>
                <w:szCs w:val="18"/>
              </w:rPr>
              <w:t xml:space="preserve"> 60 días hábiles, analizar, estudiar y dictaminar las propuestas. En caso de resultar fundadas las propuestas planteadas, se hará del conocimiento del Ayuntamiento para su consideración. Se deberá informar al </w:t>
            </w:r>
            <w:proofErr w:type="spellStart"/>
            <w:r w:rsidRPr="004A293B">
              <w:rPr>
                <w:rFonts w:ascii="Arial" w:hAnsi="Arial" w:cs="Arial"/>
                <w:szCs w:val="18"/>
              </w:rPr>
              <w:t>promovente</w:t>
            </w:r>
            <w:proofErr w:type="spellEnd"/>
            <w:r w:rsidRPr="004A293B">
              <w:rPr>
                <w:rFonts w:ascii="Arial" w:hAnsi="Arial" w:cs="Arial"/>
                <w:szCs w:val="18"/>
              </w:rPr>
              <w:t xml:space="preserve"> la procedencia o improcedencia de sus propuestas</w:t>
            </w:r>
          </w:p>
        </w:tc>
      </w:tr>
      <w:tr w:rsidR="00E04ED6" w:rsidRPr="003A6DDE" w:rsidTr="00263784">
        <w:trPr>
          <w:trHeight w:val="1120"/>
        </w:trPr>
        <w:tc>
          <w:tcPr>
            <w:tcW w:w="4489" w:type="dxa"/>
          </w:tcPr>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04ED6" w:rsidRPr="00D7592A"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tc>
        <w:tc>
          <w:tcPr>
            <w:tcW w:w="4489" w:type="dxa"/>
          </w:tcPr>
          <w:p w:rsidR="00E04ED6" w:rsidRPr="004A293B" w:rsidRDefault="00E04ED6" w:rsidP="00263784">
            <w:pPr>
              <w:jc w:val="both"/>
              <w:rPr>
                <w:rFonts w:ascii="Arial" w:hAnsi="Arial" w:cs="Arial"/>
                <w:szCs w:val="18"/>
              </w:rPr>
            </w:pP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A293B">
              <w:rPr>
                <w:rFonts w:ascii="Arial" w:hAnsi="Arial" w:cs="Arial"/>
                <w:szCs w:val="18"/>
              </w:rPr>
              <w:t>CAPÍTULO VIII</w:t>
            </w: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Cs w:val="18"/>
              </w:rPr>
            </w:pPr>
            <w:r w:rsidRPr="004A293B">
              <w:rPr>
                <w:rFonts w:ascii="Arial" w:hAnsi="Arial" w:cs="Arial"/>
                <w:szCs w:val="18"/>
              </w:rPr>
              <w:t>DEL RECURSO ÚNICO DE INCONFORMIDAD.</w:t>
            </w: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r w:rsidRPr="004A293B">
              <w:rPr>
                <w:rFonts w:ascii="Arial" w:hAnsi="Arial" w:cs="Arial"/>
                <w:szCs w:val="18"/>
              </w:rPr>
              <w:t>A</w:t>
            </w:r>
            <w:r>
              <w:rPr>
                <w:rFonts w:ascii="Arial" w:hAnsi="Arial" w:cs="Arial"/>
                <w:szCs w:val="18"/>
              </w:rPr>
              <w:t>rtículo</w:t>
            </w:r>
            <w:r w:rsidRPr="004A293B">
              <w:rPr>
                <w:rFonts w:ascii="Arial" w:hAnsi="Arial" w:cs="Arial"/>
                <w:szCs w:val="18"/>
              </w:rPr>
              <w:t xml:space="preserve"> 28. El Procedimiento Administrativo Único de Recurso de Inconformidad procederá en contra de los actos emitidos por las autoridades del Municipio de Monterrey, con excepción de aquellos recursos cuyo procedimiento este regulado en la Legislación Estatal.</w:t>
            </w:r>
          </w:p>
          <w:p w:rsidR="00E04ED6" w:rsidRPr="004A293B"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Cs w:val="18"/>
              </w:rPr>
            </w:pPr>
          </w:p>
          <w:p w:rsidR="00E04ED6" w:rsidRPr="004A293B" w:rsidRDefault="00E04ED6" w:rsidP="00263784">
            <w:pPr>
              <w:jc w:val="both"/>
              <w:rPr>
                <w:rFonts w:ascii="Arial" w:hAnsi="Arial" w:cs="Arial"/>
                <w:szCs w:val="18"/>
              </w:rPr>
            </w:pPr>
            <w:r w:rsidRPr="004A293B">
              <w:rPr>
                <w:rFonts w:ascii="Arial" w:hAnsi="Arial" w:cs="Arial"/>
                <w:szCs w:val="18"/>
              </w:rPr>
              <w:t>A</w:t>
            </w:r>
            <w:r>
              <w:rPr>
                <w:rFonts w:ascii="Arial" w:hAnsi="Arial" w:cs="Arial"/>
                <w:szCs w:val="18"/>
              </w:rPr>
              <w:t>rtículo</w:t>
            </w:r>
            <w:r w:rsidRPr="004A293B">
              <w:rPr>
                <w:rFonts w:ascii="Arial" w:hAnsi="Arial" w:cs="Arial"/>
                <w:szCs w:val="18"/>
              </w:rPr>
              <w:t xml:space="preserve"> 29. 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w:t>
            </w:r>
            <w:r>
              <w:rPr>
                <w:rFonts w:ascii="Arial" w:hAnsi="Arial" w:cs="Arial"/>
                <w:szCs w:val="18"/>
              </w:rPr>
              <w:t>,</w:t>
            </w:r>
            <w:r w:rsidRPr="004A293B">
              <w:rPr>
                <w:rFonts w:ascii="Arial" w:hAnsi="Arial" w:cs="Arial"/>
                <w:szCs w:val="18"/>
              </w:rPr>
              <w:t xml:space="preserve"> en primer término, o el derecho común</w:t>
            </w:r>
            <w:r>
              <w:rPr>
                <w:rFonts w:ascii="Arial" w:hAnsi="Arial" w:cs="Arial"/>
                <w:szCs w:val="18"/>
              </w:rPr>
              <w:t>,</w:t>
            </w:r>
            <w:r w:rsidRPr="004A293B">
              <w:rPr>
                <w:rFonts w:ascii="Arial" w:hAnsi="Arial" w:cs="Arial"/>
                <w:szCs w:val="18"/>
              </w:rPr>
              <w:t xml:space="preserve"> en segundo término.</w:t>
            </w:r>
          </w:p>
          <w:p w:rsidR="00E04ED6" w:rsidRPr="004A293B" w:rsidRDefault="00E04ED6" w:rsidP="00263784">
            <w:pPr>
              <w:jc w:val="both"/>
              <w:rPr>
                <w:rFonts w:ascii="Arial" w:hAnsi="Arial" w:cs="Arial"/>
                <w:szCs w:val="18"/>
              </w:rPr>
            </w:pPr>
          </w:p>
        </w:tc>
      </w:tr>
      <w:tr w:rsidR="00E04ED6" w:rsidRPr="003A6DDE" w:rsidTr="00263784">
        <w:trPr>
          <w:trHeight w:val="1217"/>
        </w:trPr>
        <w:tc>
          <w:tcPr>
            <w:tcW w:w="8978" w:type="dxa"/>
            <w:gridSpan w:val="2"/>
            <w:tcBorders>
              <w:bottom w:val="single" w:sz="4" w:space="0" w:color="auto"/>
            </w:tcBorders>
          </w:tcPr>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r w:rsidRPr="00AD5818">
              <w:rPr>
                <w:rFonts w:ascii="Arial" w:hAnsi="Arial" w:cs="Arial"/>
                <w:b/>
                <w:szCs w:val="18"/>
              </w:rPr>
              <w:t>TRANSITORIO</w:t>
            </w:r>
          </w:p>
          <w:p w:rsidR="00E04ED6" w:rsidRDefault="00E04ED6" w:rsidP="00263784">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Cs w:val="18"/>
              </w:rPr>
            </w:pPr>
          </w:p>
          <w:p w:rsidR="00E04ED6" w:rsidRDefault="00E04ED6" w:rsidP="00263784">
            <w:pPr>
              <w:jc w:val="both"/>
              <w:rPr>
                <w:rFonts w:ascii="Arial" w:hAnsi="Arial"/>
              </w:rPr>
            </w:pPr>
            <w:r w:rsidRPr="001805B9">
              <w:rPr>
                <w:rFonts w:ascii="Arial" w:hAnsi="Arial"/>
              </w:rPr>
              <w:t>Ú</w:t>
            </w:r>
            <w:r>
              <w:rPr>
                <w:rFonts w:ascii="Arial" w:hAnsi="Arial"/>
              </w:rPr>
              <w:t xml:space="preserve">NICO. Las presentes reformas </w:t>
            </w:r>
            <w:r w:rsidRPr="001805B9">
              <w:rPr>
                <w:rFonts w:ascii="Arial" w:hAnsi="Arial" w:cstheme="minorBidi"/>
              </w:rPr>
              <w:t xml:space="preserve">entrarán en vigor </w:t>
            </w:r>
            <w:r>
              <w:rPr>
                <w:rFonts w:ascii="Arial" w:hAnsi="Arial" w:cstheme="minorBidi"/>
              </w:rPr>
              <w:t>a partir</w:t>
            </w:r>
            <w:r w:rsidRPr="001805B9">
              <w:rPr>
                <w:rFonts w:ascii="Arial" w:hAnsi="Arial" w:cstheme="minorBidi"/>
              </w:rPr>
              <w:t xml:space="preserve"> de su publicación en el Periódico Oficial del Estado</w:t>
            </w:r>
            <w:r>
              <w:rPr>
                <w:rFonts w:ascii="Arial" w:hAnsi="Arial"/>
              </w:rPr>
              <w:t>.</w:t>
            </w:r>
          </w:p>
          <w:p w:rsidR="00E04ED6" w:rsidRPr="00AD5818" w:rsidRDefault="00E04ED6" w:rsidP="00263784">
            <w:pPr>
              <w:jc w:val="both"/>
              <w:rPr>
                <w:rFonts w:ascii="Arial" w:hAnsi="Arial" w:cs="Arial"/>
                <w:b/>
                <w:szCs w:val="18"/>
              </w:rPr>
            </w:pPr>
          </w:p>
        </w:tc>
      </w:tr>
    </w:tbl>
    <w:p w:rsidR="00E90879" w:rsidRDefault="00E90879">
      <w:bookmarkStart w:id="0" w:name="_GoBack"/>
      <w:bookmarkEnd w:id="0"/>
    </w:p>
    <w:sectPr w:rsidR="00E90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D6"/>
    <w:rsid w:val="00E04ED6"/>
    <w:rsid w:val="00E9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1404E-68D2-4D70-9AF4-2886562E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E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4ED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4ED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E04ED6"/>
    <w:pPr>
      <w:pBdr>
        <w:top w:val="nil"/>
        <w:left w:val="nil"/>
        <w:bottom w:val="nil"/>
        <w:right w:val="nil"/>
        <w:between w:val="nil"/>
        <w:bar w:val="nil"/>
      </w:pBdr>
      <w:spacing w:after="0" w:line="240" w:lineRule="auto"/>
    </w:pPr>
    <w:rPr>
      <w:rFonts w:ascii="Helvetica" w:eastAsia="Helvetica" w:hAnsi="Helvetica" w:cs="Helvetica"/>
      <w:color w:val="000000"/>
      <w:bdr w:val="ni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Balderas Reyna</dc:creator>
  <cp:keywords/>
  <dc:description/>
  <cp:lastModifiedBy>Maria Eugenia Balderas Reyna</cp:lastModifiedBy>
  <cp:revision>1</cp:revision>
  <dcterms:created xsi:type="dcterms:W3CDTF">2016-02-15T19:04:00Z</dcterms:created>
  <dcterms:modified xsi:type="dcterms:W3CDTF">2016-02-15T19:05:00Z</dcterms:modified>
</cp:coreProperties>
</file>